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077.65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основы бухгалтерского управленческого учета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pPr>
              <w:jc w:val="both"/>
              <w:spacing w:after="0" w:line="240" w:lineRule="auto"/>
              <w:rPr>
                <w:sz w:val="24"/>
                <w:szCs w:val="24"/>
              </w:rPr>
            </w:pPr>
            <w:r>
              <w:rPr>
                <w:rFonts w:ascii="Times New Roman" w:hAnsi="Times New Roman" w:cs="Times New Roman"/>
                <w:color w:val="#000000"/>
                <w:sz w:val="24"/>
                <w:szCs w:val="24"/>
              </w:rPr>
              <w:t> Отличия финансового 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Задачи бухгалтерского управленческого учета: прогнозирование, планирование, контроль и анализ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управленческого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Затраты организации, их характеристика. Классификация  затрат и калькулирования себестоимости продукции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269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Бюджетирование и контроль затрат</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Классификация по срокам: стратегическое, административное и оперативное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детализации: частное и общее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методам разработки: «от нуля» и «от достигнутого».</w:t>
            </w:r>
          </w:p>
          <w:p>
            <w:pPr>
              <w:jc w:val="both"/>
              <w:spacing w:after="0" w:line="240" w:lineRule="auto"/>
              <w:rPr>
                <w:sz w:val="24"/>
                <w:szCs w:val="24"/>
              </w:rPr>
            </w:pPr>
            <w:r>
              <w:rPr>
                <w:rFonts w:ascii="Times New Roman" w:hAnsi="Times New Roman" w:cs="Times New Roman"/>
                <w:color w:val="#000000"/>
                <w:sz w:val="24"/>
                <w:szCs w:val="24"/>
              </w:rPr>
              <w:t> Классификация по функциям затрат в планировании деятельности: капитальное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возможности контроля: статичное и гибкое планирование.</w:t>
            </w:r>
          </w:p>
          <w:p>
            <w:pPr>
              <w:jc w:val="both"/>
              <w:spacing w:after="0" w:line="240" w:lineRule="auto"/>
              <w:rPr>
                <w:sz w:val="24"/>
                <w:szCs w:val="24"/>
              </w:rPr>
            </w:pPr>
            <w:r>
              <w:rPr>
                <w:rFonts w:ascii="Times New Roman" w:hAnsi="Times New Roman" w:cs="Times New Roman"/>
                <w:color w:val="#000000"/>
                <w:sz w:val="24"/>
                <w:szCs w:val="24"/>
              </w:rPr>
              <w:t> Процесс планирования. Прогнозы и бюджеты.</w:t>
            </w:r>
          </w:p>
          <w:p>
            <w:pPr>
              <w:jc w:val="both"/>
              <w:spacing w:after="0" w:line="240" w:lineRule="auto"/>
              <w:rPr>
                <w:sz w:val="24"/>
                <w:szCs w:val="24"/>
              </w:rPr>
            </w:pPr>
            <w:r>
              <w:rPr>
                <w:rFonts w:ascii="Times New Roman" w:hAnsi="Times New Roman" w:cs="Times New Roman"/>
                <w:color w:val="#000000"/>
                <w:sz w:val="24"/>
                <w:szCs w:val="24"/>
              </w:rPr>
              <w:t> 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Организация бухгалтерского управленческого учета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Автономные и интегрированные системы учета как разновидность вариантов организации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pPr>
              <w:jc w:val="both"/>
              <w:spacing w:after="0" w:line="240" w:lineRule="auto"/>
              <w:rPr>
                <w:sz w:val="24"/>
                <w:szCs w:val="24"/>
              </w:rPr>
            </w:pPr>
            <w:r>
              <w:rPr>
                <w:rFonts w:ascii="Times New Roman" w:hAnsi="Times New Roman" w:cs="Times New Roman"/>
                <w:color w:val="#000000"/>
                <w:sz w:val="24"/>
                <w:szCs w:val="24"/>
              </w:rPr>
              <w:t> Сегменты управленческой деятельности. Сегментарная отчетность – дополнительные возможности управления и контроля.</w:t>
            </w:r>
          </w:p>
          <w:p>
            <w:pPr>
              <w:jc w:val="both"/>
              <w:spacing w:after="0" w:line="240" w:lineRule="auto"/>
              <w:rPr>
                <w:sz w:val="24"/>
                <w:szCs w:val="24"/>
              </w:rPr>
            </w:pPr>
            <w:r>
              <w:rPr>
                <w:rFonts w:ascii="Times New Roman" w:hAnsi="Times New Roman" w:cs="Times New Roman"/>
                <w:color w:val="#000000"/>
                <w:sz w:val="24"/>
                <w:szCs w:val="24"/>
              </w:rPr>
              <w:t> Финансовые критерии оценки деятельности центров ответственности. Нефинансовые критерии оценки деятельности центров ответственности.</w:t>
            </w:r>
          </w:p>
          <w:p>
            <w:pPr>
              <w:jc w:val="both"/>
              <w:spacing w:after="0" w:line="240" w:lineRule="auto"/>
              <w:rPr>
                <w:sz w:val="24"/>
                <w:szCs w:val="24"/>
              </w:rPr>
            </w:pPr>
            <w:r>
              <w:rPr>
                <w:rFonts w:ascii="Times New Roman" w:hAnsi="Times New Roman" w:cs="Times New Roman"/>
                <w:color w:val="#000000"/>
                <w:sz w:val="24"/>
                <w:szCs w:val="24"/>
              </w:rPr>
              <w:t> Система сбалансированных показателей.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основы бухгалтерского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2.Затраты организации, их характеристика. Классификация  затрат и калькулирования себестоимости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Бюджетирование и контроль затрат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Организация бухгалтерского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2023-2024_ФГОС3++2023_Бак-ОФО-УП(ОТОП)(23)_plx_Управленческий учет</dc:title>
  <dc:creator>FastReport.NET</dc:creator>
</cp:coreProperties>
</file>